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spacing w:line="500" w:lineRule="exact"/>
        <w:contextualSpacing/>
        <w:jc w:val="center"/>
        <w:rPr>
          <w:rFonts w:ascii="微软雅黑" w:eastAsia="微软雅黑" w:cs="宋体"/>
          <w:color w:val="333333"/>
          <w:kern w:val="0"/>
          <w:sz w:val="42"/>
          <w:szCs w:val="42"/>
        </w:rPr>
      </w:pPr>
      <w:r>
        <w:rPr>
          <w:rFonts w:hint="eastAsia" w:ascii="方正小标宋简体" w:eastAsia="方正小标宋简体" w:cs="宋体"/>
          <w:color w:val="333333"/>
          <w:kern w:val="0"/>
          <w:sz w:val="36"/>
          <w:szCs w:val="36"/>
        </w:rPr>
        <w:t>福建省机关事业单位招考专业指导目录（2021年）</w:t>
      </w:r>
    </w:p>
    <w:p>
      <w:pPr>
        <w:widowControl/>
        <w:shd w:val="clear" w:color="auto" w:fill="FEFEFE"/>
        <w:spacing w:line="500" w:lineRule="exact"/>
        <w:contextualSpacing/>
        <w:jc w:val="center"/>
        <w:rPr>
          <w:rFonts w:ascii="宋体" w:cs="宋体"/>
          <w:color w:val="999999"/>
          <w:kern w:val="0"/>
          <w:szCs w:val="21"/>
        </w:rPr>
      </w:pPr>
      <w:r>
        <w:rPr>
          <w:rFonts w:ascii="宋体" w:cs="宋体"/>
          <w:color w:val="999999"/>
          <w:kern w:val="0"/>
          <w:szCs w:val="21"/>
        </w:rPr>
        <w:t xml:space="preserve">2021-02-17 16:45 </w:t>
      </w:r>
    </w:p>
    <w:p>
      <w:pPr>
        <w:widowControl/>
        <w:shd w:val="clear" w:color="auto" w:fill="FEFEFE"/>
        <w:spacing w:line="500" w:lineRule="exact"/>
        <w:ind w:firstLine="440"/>
        <w:contextualSpacing/>
        <w:jc w:val="left"/>
        <w:rPr>
          <w:rFonts w:ascii="宋体" w:cs="宋体"/>
          <w:kern w:val="0"/>
          <w:sz w:val="24"/>
          <w:szCs w:val="24"/>
        </w:rPr>
      </w:pPr>
    </w:p>
    <w:p>
      <w:pPr>
        <w:widowControl/>
        <w:shd w:val="clear" w:color="auto" w:fill="FEFEFE"/>
        <w:spacing w:line="500" w:lineRule="exact"/>
        <w:ind w:left="0" w:firstLine="560" w:firstLineChars="200"/>
        <w:contextualSpacing/>
        <w:rPr>
          <w:rFonts w:ascii="仿宋_GB2312" w:eastAsia="仿宋_GB2312" w:cs="宋体"/>
          <w:kern w:val="0"/>
          <w:sz w:val="28"/>
          <w:szCs w:val="28"/>
        </w:rPr>
      </w:pPr>
      <w:r>
        <w:rPr>
          <w:rFonts w:hint="eastAsia" w:ascii="仿宋_GB2312" w:eastAsia="仿宋_GB2312" w:cs="宋体"/>
          <w:kern w:val="0"/>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widowControl/>
        <w:shd w:val="clear" w:color="auto" w:fill="FEFEFE"/>
        <w:spacing w:line="500" w:lineRule="exact"/>
        <w:ind w:left="0" w:firstLine="560" w:firstLineChars="200"/>
        <w:contextualSpacing/>
        <w:rPr>
          <w:rFonts w:ascii="仿宋_GB2312" w:eastAsia="仿宋_GB2312" w:cs="宋体"/>
          <w:kern w:val="0"/>
          <w:sz w:val="28"/>
          <w:szCs w:val="28"/>
        </w:rPr>
      </w:pPr>
      <w:r>
        <w:rPr>
          <w:rFonts w:hint="eastAsia" w:ascii="仿宋_GB2312" w:eastAsia="仿宋_GB2312" w:cs="宋体"/>
          <w:kern w:val="0"/>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widowControl/>
        <w:shd w:val="clear" w:color="auto" w:fill="FEFEFE"/>
        <w:spacing w:line="500" w:lineRule="exact"/>
        <w:ind w:left="0" w:firstLine="560" w:firstLineChars="200"/>
        <w:contextualSpacing/>
        <w:rPr>
          <w:rFonts w:ascii="仿宋_GB2312" w:eastAsia="仿宋_GB2312" w:cs="宋体"/>
          <w:kern w:val="0"/>
          <w:sz w:val="28"/>
          <w:szCs w:val="28"/>
        </w:rPr>
      </w:pPr>
      <w:r>
        <w:rPr>
          <w:rFonts w:hint="eastAsia" w:ascii="仿宋_GB2312" w:eastAsia="仿宋_GB2312" w:cs="宋体"/>
          <w:kern w:val="0"/>
          <w:sz w:val="28"/>
          <w:szCs w:val="28"/>
        </w:rPr>
        <w:t>本目录由招录（聘）主管部门负责解释。</w:t>
      </w:r>
    </w:p>
    <w:p>
      <w:pPr>
        <w:widowControl/>
        <w:shd w:val="clear" w:color="auto" w:fill="FCFCFC"/>
        <w:spacing w:before="100" w:after="100" w:line="500" w:lineRule="exact"/>
        <w:ind w:firstLine="562" w:firstLineChars="200"/>
        <w:contextualSpacing/>
        <w:jc w:val="left"/>
        <w:rPr>
          <w:rFonts w:ascii="黑体" w:eastAsia="黑体" w:cs="宋体"/>
          <w:color w:val="000000"/>
          <w:kern w:val="0"/>
          <w:sz w:val="28"/>
          <w:szCs w:val="28"/>
        </w:rPr>
      </w:pPr>
      <w:r>
        <w:rPr>
          <w:rFonts w:hint="eastAsia" w:ascii="黑体" w:eastAsia="黑体" w:cs="宋体"/>
          <w:b/>
          <w:bCs/>
          <w:color w:val="000000"/>
          <w:kern w:val="0"/>
          <w:sz w:val="28"/>
          <w:szCs w:val="28"/>
        </w:rPr>
        <w:t>一、哲学、文学、历史学大类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1.哲学类：哲学，逻辑学，宗教学，伦理学，马克思主义哲学，中国哲学，外国哲学，美学，科学技术哲学，科学技术史</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3.少数民族语言文学类：中国少数民族语言文学（藏语言文学、蒙古语言文学、维吾尔语言文学、朝鲜语言文学、哈萨克语言文学等），中国少数民族语言文化</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二、经济学、管理学大类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14.电商物流类：电子商务，电子商务及法律，商务信息学，物流，物流管理，物流工程等工程硕士，采购（供应）管理，国际物流，现代物流管理，物流信息，物流信息管理，电子商务物流，物流工程与管理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widowControl/>
        <w:shd w:val="clear" w:color="auto" w:fill="FCFCFC"/>
        <w:spacing w:before="100" w:after="100" w:line="500" w:lineRule="exact"/>
        <w:ind w:firstLine="560" w:firstLineChars="200"/>
        <w:contextualSpacing/>
        <w:rPr>
          <w:rFonts w:ascii="仿宋_GB2312" w:eastAsia="仿宋_GB2312" w:cs="宋体"/>
          <w:color w:val="auto"/>
          <w:kern w:val="0"/>
          <w:sz w:val="28"/>
          <w:szCs w:val="28"/>
        </w:rPr>
      </w:pPr>
      <w:bookmarkStart w:id="0" w:name="_GoBack"/>
      <w:r>
        <w:rPr>
          <w:rFonts w:hint="eastAsia" w:ascii="仿宋_GB2312" w:eastAsia="仿宋_GB2312" w:cs="宋体"/>
          <w:color w:val="auto"/>
          <w:kern w:val="0"/>
          <w:sz w:val="28"/>
          <w:szCs w:val="28"/>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bookmarkEnd w:id="0"/>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20.图书档案学类：图书馆学，档案(学)，信息资源管理，情报学，信息管理与信息系统，图书档案管理，图书情报硕士</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三、法学大类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25.民族宗教类：民族学，宗教学，中国少数民族语言文学，民族理论与民族政策，马克思主义民族理论与政策，中国少数民族经济，中国少数民族史，中国少数民族艺术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四、教育学大类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五、理学、工学大类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36.天文学类：天文学，天体物理，天体测量与天体力学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37.地质学类：地质学，地球化学，矿物学、岩石学、矿床学，古生物学及地层学，构造地质学，第四纪地质学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39.地球物理学类：地球物理学，地球与空间科学，空间科学与技术，固体地球物理学，空间物理学，信息技术与地球物理，应用地球物理，空间信息与数字技术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40.大气科学类：大气科学，应用气象学，气象学，大气物理学与大气环境，大气科学技术，大气探测技术，应用气象技术，防雷技术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41.海洋科学类：海洋科学，海洋技术，海洋资源与环境，海洋管理，军事海洋学，海洋生物资源与环境，物理海洋学，海洋化学，海洋生物学，海洋地质，海岸带综合管理，海洋物理（学）</w:t>
      </w:r>
    </w:p>
    <w:p>
      <w:pPr>
        <w:widowControl/>
        <w:shd w:val="clear" w:color="auto" w:fill="FCFCFC"/>
        <w:spacing w:before="100" w:after="100" w:line="500" w:lineRule="exact"/>
        <w:contextualSpacing/>
        <w:jc w:val="left"/>
        <w:rPr>
          <w:rFonts w:ascii="微软雅黑" w:eastAsia="微软雅黑" w:cs="宋体"/>
          <w:color w:val="000000"/>
          <w:kern w:val="0"/>
          <w:sz w:val="27"/>
          <w:szCs w:val="27"/>
        </w:rPr>
      </w:pPr>
      <w:r>
        <w:rPr>
          <w:rFonts w:hint="eastAsia" w:ascii="微软雅黑" w:eastAsia="微软雅黑" w:cs="宋体"/>
          <w:color w:val="000000"/>
          <w:kern w:val="0"/>
          <w:sz w:val="27"/>
          <w:szCs w:val="27"/>
        </w:rPr>
        <w:t>42.心理学类：心理学，应用心理学（含临床心理学方向、犯罪心理学、社会心理学、心理咨询等），基础心理学，发展与教育心理学，人格心理学，认知神经科学，临床心理学，应用心理硕士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43.系统科学类：系统理论，系统科学与工程，系统分析与集成</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47.仪器仪表类：测控技术与仪器，电子信息技术及仪器，精密仪器及机械，测试计量技术及仪器，仪器科学与技术，工程硕士（仪器仪表工程），电子测量技术与仪器</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52.计算机科学与技术类：计算机硬件技术类，计算机软件技术类，计算机网络技术类，计算机信息管理类，计算机多媒体技术类，计算机专门应用类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65.交通运输类：交通运输综合管理类，交通运输装备类，公路运输类，铁道运输类，城市轨道运输类，水上运输类，民航运输类，港口运输类，管道运输类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66.交通运输综合管理类：交通运输，交通工程，物流工程，交通信息工程及控制，交通运输规划与管理，交通设备与控制工程，救助与打捞工程，交通运输工程，物流工程与管理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67.交通运输装备类：交通设备信息工程，交通建设与装备，载运工具运用工程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70.城市轨道运输类：道路与铁道工程，城市轨道交通车辆，城市轨道交通控制，城市轨道交通工程技术，城市轨道交通运营管理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73.港口运输类：港口业务管理，港口物流设备与自动控制，集装箱运输管理，港口工程技术，报关与国际货运，港口与航运管理，港口机械应用技术，港口物流管理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74.管道运输类：管道工程技术，管道工程施工，管道运输管理，油气储运工程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75.海洋工程类：船舶与海洋工程，船舶与海洋结构物设计制造，轮机工程，运载工具运用工程，水声工程，海洋工程与技术，海洋资源开发技术，船舶电子电气工程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82.工程力学类：理论与应用力学，工程力学，工程结构分析，一般力学与力学基础，固体力学，流体力学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83.生物工程类：生物工程，生物制药，生物医学工程，生物系统工程，生物技术及应用，生物实验技术，生物化工工艺，微生物技术及应用，病原生物学生物工程，微生物学与生化药学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84.农业工程类：农业硕士，农业工程，农业机械化及其自动化，农业电气化（与自动化），农业建筑环境与能源工程，农业水利工程，农业机械化工程，农业水土工程，农业生物环境与能源工程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85.林业工程类：森林工程，木材科学与工程，林产化工，木材科学与技术，林产化学加工，林产化学加工工程，林产科学与化学工程，家具设计与工程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86.光学工程类：光学工程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87.核科学与技术类：核能科学与工程，核燃料循环与材料，核技术及应用，辐射防护及环境保护，核科学与技术，核工程与核技术，辐射防护与核安全，工程物理，核化工与核燃料</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六、医学大类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88.基础医学类：基础医学，人体解剖与组织胚胎学，免疫学，病原生物学，病理生理学，航空、航天和航海医学，运动人体科学，医学实验学，分子生物医学，病理学与病理生理学，转化医学，再生医学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93.法医学类：法医学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94.护理学类：护理学，助产，护理，社区护理，中西医结合护理学，护理硕士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95.药学类：药学，药物制剂，社会发展与药事管理学，临床药学，药事管理，药物化学，海洋药学，药物分析学，药剂学，应用药学，微生物与生化药学，药理学，食品安全与药物化学，药物制剂技术，生药学，药学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96.中药学类：中药（学），藏药学，中药资源与开发，蒙药学，中草药栽培与鉴定，生药学，中药制药，维药学(药剂方向) ，中药鉴定与质量检测技术，现代中药技术，中药学硕士</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七、农学大类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101.水产类：水产养殖学，海洋渔业科学与技术，水族科学与技术，捕捞学，渔业资源，水产养殖，水产养殖技术，水生动植物保护，海洋捕捞技术，渔业综合技术，城市渔业，淡水渔业，农业推广硕士（渔业）</w:t>
      </w:r>
    </w:p>
    <w:p>
      <w:pPr>
        <w:widowControl/>
        <w:shd w:val="clear" w:color="auto" w:fill="FCFCFC"/>
        <w:spacing w:before="100" w:after="100" w:line="500" w:lineRule="exact"/>
        <w:ind w:firstLine="562" w:firstLineChars="200"/>
        <w:contextualSpacing/>
        <w:jc w:val="left"/>
        <w:rPr>
          <w:rFonts w:ascii="黑体" w:eastAsia="黑体" w:cs="宋体"/>
          <w:b/>
          <w:bCs/>
          <w:color w:val="000000"/>
          <w:kern w:val="0"/>
          <w:sz w:val="28"/>
          <w:szCs w:val="28"/>
        </w:rPr>
      </w:pPr>
      <w:r>
        <w:rPr>
          <w:rFonts w:hint="eastAsia" w:ascii="黑体" w:eastAsia="黑体" w:cs="宋体"/>
          <w:b/>
          <w:bCs/>
          <w:color w:val="000000"/>
          <w:kern w:val="0"/>
          <w:sz w:val="28"/>
          <w:szCs w:val="28"/>
        </w:rPr>
        <w:t>八、军事学大类</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104.军事测绘遥感类：测量工程，地图学与地理信息工程，工程物理，生化防护工程，国防工程与防护，伪装工程，舰船与海洋工程，飞行器系统与工程，空间工程，兵器工程，导弹工程，弹药工程，地雷爆破与破障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105.军事控制测试类：火力指挥与控制工程，测控工程，无人机运用工程，探测工程</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106.军事经济管理类：军队财务管理，装备经济管理，军队审计，军队采办，军事组织编制学，军队管理学，部队政治工作，部队财务会计，部队后勤管理，军队政治工作学，军事后勤学，后方专业勤务</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107.兵种指挥类：炮兵指挥，防空兵指挥，装甲兵指挥，工程兵指挥，防化兵指挥，联合战役学，军种战役学，合同战术学，兵种战术学，武警指挥</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108.航空航天指挥类：航空飞行与指挥，地面领航与航空管制，航天指挥</w:t>
      </w:r>
    </w:p>
    <w:p>
      <w:pPr>
        <w:widowControl/>
        <w:shd w:val="clear" w:color="auto" w:fill="FCFCFC"/>
        <w:spacing w:before="100" w:after="100" w:line="500" w:lineRule="exact"/>
        <w:ind w:firstLine="560" w:firstLineChars="200"/>
        <w:contextualSpacing/>
        <w:rPr>
          <w:rFonts w:ascii="仿宋_GB2312" w:eastAsia="仿宋_GB2312" w:cs="宋体"/>
          <w:color w:val="000000"/>
          <w:kern w:val="0"/>
          <w:sz w:val="28"/>
          <w:szCs w:val="28"/>
        </w:rPr>
      </w:pPr>
      <w:r>
        <w:rPr>
          <w:rFonts w:hint="eastAsia" w:ascii="仿宋_GB2312" w:eastAsia="仿宋_GB2312" w:cs="宋体"/>
          <w:color w:val="000000"/>
          <w:kern w:val="0"/>
          <w:sz w:val="28"/>
          <w:szCs w:val="28"/>
        </w:rPr>
        <w:t>109.信息作战指挥类：侦察与特种兵指挥，通信指挥，电子对抗指挥与工程，军事情报，作战信息管理，预警探测指挥，作战指挥学，军事运筹学，军事通信学，军事情报学，密码学，军事教育训练学</w:t>
      </w:r>
    </w:p>
    <w:p>
      <w:pPr>
        <w:widowControl/>
        <w:shd w:val="clear" w:color="auto" w:fill="FCFCFC"/>
        <w:spacing w:before="100" w:after="100" w:line="500" w:lineRule="exact"/>
        <w:ind w:firstLine="560" w:firstLineChars="200"/>
        <w:contextualSpacing/>
        <w:rPr>
          <w:rFonts w:ascii="微软雅黑" w:eastAsia="微软雅黑" w:cs="宋体"/>
          <w:color w:val="000000"/>
          <w:kern w:val="0"/>
          <w:sz w:val="27"/>
          <w:szCs w:val="27"/>
        </w:rPr>
      </w:pPr>
      <w:r>
        <w:rPr>
          <w:rFonts w:hint="eastAsia" w:ascii="仿宋_GB2312" w:eastAsia="仿宋_GB2312" w:cs="宋体"/>
          <w:color w:val="000000"/>
          <w:kern w:val="0"/>
          <w:sz w:val="28"/>
          <w:szCs w:val="28"/>
        </w:rPr>
        <w:t>110.保障指挥类：军事交通指挥与工程，汽车指挥，船艇指挥，航空兵场站指挥，国防工程指挥，装备保障指挥，军需勤务指挥，军事装备学</w:t>
      </w:r>
    </w:p>
    <w:sectPr>
      <w:pgSz w:w="11907" w:h="16840"/>
      <w:pgMar w:top="1701" w:right="1701" w:bottom="851" w:left="1701"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6F5862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28</Pages>
  <Words>21433</Words>
  <Characters>21691</Characters>
  <Lines>779</Lines>
  <Paragraphs>123</Paragraphs>
  <TotalTime>19</TotalTime>
  <ScaleCrop>false</ScaleCrop>
  <LinksUpToDate>false</LinksUpToDate>
  <CharactersWithSpaces>21702</CharactersWithSpaces>
  <Application>WPS Office_11.1.0.8840_F1E327BC-269C-435d-A152-05C5408002CA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2021-02-22T07:02:00Z</dcterms:created>
  <dc:creator>chen</dc:creator>
  <cp:lastModifiedBy>Administrator</cp:lastModifiedBy>
  <dcterms:modified xsi:type="dcterms:W3CDTF">2021-04-09T03:45:20Z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ies>
</file>